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1F218" w14:textId="77777777" w:rsidR="000B5EEB" w:rsidRPr="00FD1247" w:rsidRDefault="0023582C" w:rsidP="00B119A3">
      <w:pPr>
        <w:spacing w:after="0"/>
        <w:jc w:val="center"/>
        <w:rPr>
          <w:b/>
          <w:bCs/>
          <w:sz w:val="16"/>
          <w:szCs w:val="16"/>
        </w:rPr>
      </w:pPr>
      <w:r>
        <w:rPr>
          <w:rFonts w:ascii="Verdana" w:hAnsi="Verdana"/>
          <w:b/>
          <w:noProof/>
          <w:sz w:val="32"/>
        </w:rPr>
        <w:drawing>
          <wp:inline distT="0" distB="0" distL="0" distR="0" wp14:anchorId="6A20EBF8" wp14:editId="4A63FCB3">
            <wp:extent cx="5730240" cy="1398720"/>
            <wp:effectExtent l="0" t="0" r="0" b="0"/>
            <wp:docPr id="2" name="Picture 2" descr="MAA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AO-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5632" cy="1402477"/>
                    </a:xfrm>
                    <a:prstGeom prst="rect">
                      <a:avLst/>
                    </a:prstGeom>
                    <a:noFill/>
                    <a:ln>
                      <a:noFill/>
                    </a:ln>
                  </pic:spPr>
                </pic:pic>
              </a:graphicData>
            </a:graphic>
          </wp:inline>
        </w:drawing>
      </w:r>
    </w:p>
    <w:p w14:paraId="0F8145B5" w14:textId="77777777" w:rsidR="000B5EEB" w:rsidRPr="003951B0" w:rsidRDefault="000B5EEB" w:rsidP="00FD1247">
      <w:pPr>
        <w:spacing w:after="0" w:line="240" w:lineRule="auto"/>
        <w:jc w:val="center"/>
        <w:rPr>
          <w:sz w:val="28"/>
          <w:szCs w:val="28"/>
        </w:rPr>
      </w:pPr>
      <w:r w:rsidRPr="003951B0">
        <w:rPr>
          <w:b/>
          <w:bCs/>
          <w:sz w:val="28"/>
          <w:szCs w:val="28"/>
        </w:rPr>
        <w:t>MINNESOTA ASSOCIATION OF ASSESSING OFFICERS (MAAO)</w:t>
      </w:r>
    </w:p>
    <w:p w14:paraId="6D5BF310" w14:textId="1BBAC862" w:rsidR="000B5EEB" w:rsidRPr="003951B0" w:rsidRDefault="000B5EEB" w:rsidP="00FD1247">
      <w:pPr>
        <w:spacing w:after="0" w:line="240" w:lineRule="auto"/>
        <w:jc w:val="center"/>
        <w:rPr>
          <w:sz w:val="28"/>
          <w:szCs w:val="28"/>
        </w:rPr>
      </w:pPr>
      <w:r w:rsidRPr="003951B0">
        <w:rPr>
          <w:b/>
          <w:sz w:val="28"/>
          <w:szCs w:val="28"/>
        </w:rPr>
        <w:t xml:space="preserve">Position Statement </w:t>
      </w:r>
      <w:r w:rsidR="008F38A1">
        <w:rPr>
          <w:sz w:val="28"/>
          <w:szCs w:val="28"/>
        </w:rPr>
        <w:t>for 20</w:t>
      </w:r>
      <w:r w:rsidR="008F3E3D">
        <w:rPr>
          <w:sz w:val="28"/>
          <w:szCs w:val="28"/>
        </w:rPr>
        <w:t>2</w:t>
      </w:r>
      <w:r w:rsidR="00426EAB">
        <w:rPr>
          <w:sz w:val="28"/>
          <w:szCs w:val="28"/>
        </w:rPr>
        <w:t>5</w:t>
      </w:r>
      <w:r w:rsidRPr="003951B0">
        <w:rPr>
          <w:sz w:val="28"/>
          <w:szCs w:val="28"/>
        </w:rPr>
        <w:t xml:space="preserve"> Legislative Session </w:t>
      </w:r>
    </w:p>
    <w:p w14:paraId="7B88A37F" w14:textId="4CD23301" w:rsidR="000B5EEB" w:rsidRPr="001741B1" w:rsidRDefault="000B5EEB" w:rsidP="00FD1247">
      <w:pPr>
        <w:spacing w:after="0" w:line="240" w:lineRule="auto"/>
        <w:jc w:val="center"/>
      </w:pPr>
      <w:r w:rsidRPr="001741B1">
        <w:t xml:space="preserve">Adopted by the MAAO Executive Board on </w:t>
      </w:r>
      <w:r w:rsidR="00562513">
        <w:t xml:space="preserve">August </w:t>
      </w:r>
      <w:r w:rsidR="00426EAB">
        <w:t>12, 2024</w:t>
      </w:r>
    </w:p>
    <w:p w14:paraId="43F5348D" w14:textId="77777777" w:rsidR="00D3275E" w:rsidRPr="0023582C" w:rsidRDefault="00D3275E" w:rsidP="00FD1247">
      <w:pPr>
        <w:spacing w:after="0" w:line="240" w:lineRule="auto"/>
        <w:rPr>
          <w:b/>
          <w:sz w:val="16"/>
          <w:szCs w:val="16"/>
        </w:rPr>
      </w:pPr>
    </w:p>
    <w:p w14:paraId="30EDD0FA" w14:textId="11D933AD" w:rsidR="000B5EEB" w:rsidRPr="00020F12" w:rsidRDefault="000B5EEB" w:rsidP="00FD1247">
      <w:pPr>
        <w:spacing w:line="240" w:lineRule="auto"/>
      </w:pPr>
      <w:r w:rsidRPr="001F3598">
        <w:rPr>
          <w:b/>
        </w:rPr>
        <w:t>1. MAAO</w:t>
      </w:r>
      <w:r w:rsidRPr="001F3598">
        <w:t xml:space="preserve"> supports the production of </w:t>
      </w:r>
      <w:r w:rsidR="003A4B5F" w:rsidRPr="001F3598">
        <w:t>high-quality</w:t>
      </w:r>
      <w:r w:rsidRPr="001F3598">
        <w:t xml:space="preserve"> annual assessments</w:t>
      </w:r>
      <w:r w:rsidR="008F38A1" w:rsidRPr="001F3598">
        <w:t xml:space="preserve"> through uniform and consistent application of </w:t>
      </w:r>
      <w:r w:rsidR="008F38A1" w:rsidRPr="001F3598">
        <w:rPr>
          <w:color w:val="000000" w:themeColor="text1"/>
        </w:rPr>
        <w:t>best</w:t>
      </w:r>
      <w:r w:rsidR="003511AA" w:rsidRPr="001F3598">
        <w:rPr>
          <w:color w:val="000000" w:themeColor="text1"/>
        </w:rPr>
        <w:t xml:space="preserve"> practices in </w:t>
      </w:r>
      <w:r w:rsidR="008F38A1" w:rsidRPr="001F3598">
        <w:rPr>
          <w:color w:val="000000" w:themeColor="text1"/>
        </w:rPr>
        <w:t xml:space="preserve">assessment </w:t>
      </w:r>
      <w:r w:rsidR="003511AA" w:rsidRPr="001F3598">
        <w:rPr>
          <w:color w:val="000000" w:themeColor="text1"/>
        </w:rPr>
        <w:t>administration</w:t>
      </w:r>
      <w:r w:rsidR="008F38A1" w:rsidRPr="001F3598">
        <w:rPr>
          <w:color w:val="000000" w:themeColor="text1"/>
        </w:rPr>
        <w:t>.</w:t>
      </w:r>
    </w:p>
    <w:p w14:paraId="0F42CD60" w14:textId="11883611" w:rsidR="00020F12" w:rsidRPr="00020F12" w:rsidRDefault="00020F12" w:rsidP="00FD1247">
      <w:pPr>
        <w:spacing w:after="120" w:line="240" w:lineRule="auto"/>
      </w:pPr>
      <w:r>
        <w:rPr>
          <w:b/>
        </w:rPr>
        <w:t xml:space="preserve">2. MAAO </w:t>
      </w:r>
      <w:r w:rsidRPr="00020F12">
        <w:t>sup</w:t>
      </w:r>
      <w:r>
        <w:t>ports the safety and security of assessors engaged in property reviews for taxation purposes.</w:t>
      </w:r>
    </w:p>
    <w:p w14:paraId="2E76D2CD" w14:textId="1F5389DA" w:rsidR="000B5EEB" w:rsidRPr="001F3598" w:rsidRDefault="00020F12" w:rsidP="00FD1247">
      <w:pPr>
        <w:spacing w:after="120" w:line="240" w:lineRule="auto"/>
      </w:pPr>
      <w:r>
        <w:rPr>
          <w:b/>
        </w:rPr>
        <w:t>3</w:t>
      </w:r>
      <w:r w:rsidR="000B5EEB" w:rsidRPr="001F3598">
        <w:rPr>
          <w:b/>
        </w:rPr>
        <w:t>. MAAO</w:t>
      </w:r>
      <w:r w:rsidR="000B5EEB" w:rsidRPr="001F3598">
        <w:t xml:space="preserve"> supports the principle of ad valorem taxation – taxation based on market value, as a major component of a diverse </w:t>
      </w:r>
      <w:r w:rsidR="003A4B5F" w:rsidRPr="001F3598">
        <w:t>budget-based</w:t>
      </w:r>
      <w:r w:rsidR="000B5EEB" w:rsidRPr="001F3598">
        <w:t xml:space="preserve"> tax system. Such a system should be:</w:t>
      </w:r>
    </w:p>
    <w:p w14:paraId="1F81BCFE" w14:textId="6D142EAE" w:rsidR="000B5EEB" w:rsidRPr="001F3598" w:rsidRDefault="000B5EEB" w:rsidP="00FD1247">
      <w:pPr>
        <w:pStyle w:val="NoSpacing"/>
        <w:numPr>
          <w:ilvl w:val="0"/>
          <w:numId w:val="6"/>
        </w:numPr>
      </w:pPr>
      <w:r w:rsidRPr="001F3598">
        <w:t>Based up</w:t>
      </w:r>
      <w:r w:rsidR="00AB5BAC" w:rsidRPr="001F3598">
        <w:t xml:space="preserve">on a </w:t>
      </w:r>
      <w:r w:rsidR="00CF2E41" w:rsidRPr="001F3598">
        <w:t>uniform</w:t>
      </w:r>
      <w:r w:rsidR="00AB5BAC" w:rsidRPr="001F3598">
        <w:t xml:space="preserve"> and </w:t>
      </w:r>
      <w:r w:rsidR="00CE5B42" w:rsidRPr="001F3598">
        <w:t>equitable</w:t>
      </w:r>
      <w:r w:rsidRPr="001F3598">
        <w:t xml:space="preserve"> tax base.</w:t>
      </w:r>
    </w:p>
    <w:p w14:paraId="4F3C30CB" w14:textId="35DFD6E6" w:rsidR="000B5EEB" w:rsidRPr="00C87306" w:rsidRDefault="000B5EEB" w:rsidP="00FD1247">
      <w:pPr>
        <w:pStyle w:val="NoSpacing"/>
        <w:numPr>
          <w:ilvl w:val="0"/>
          <w:numId w:val="6"/>
        </w:numPr>
        <w:rPr>
          <w:i/>
          <w:iCs/>
        </w:rPr>
      </w:pPr>
      <w:r w:rsidRPr="00C87306">
        <w:rPr>
          <w:i/>
          <w:iCs/>
        </w:rPr>
        <w:t>A reliable source of revenue for local taxing authorities.</w:t>
      </w:r>
    </w:p>
    <w:p w14:paraId="5328B163" w14:textId="685B1166" w:rsidR="000B5EEB" w:rsidRDefault="000B5EEB" w:rsidP="00FD1247">
      <w:pPr>
        <w:pStyle w:val="NoSpacing"/>
        <w:numPr>
          <w:ilvl w:val="0"/>
          <w:numId w:val="7"/>
        </w:numPr>
      </w:pPr>
      <w:r w:rsidRPr="001F3598">
        <w:t>Accountable and justifiable with similar properties.</w:t>
      </w:r>
    </w:p>
    <w:p w14:paraId="07449FBD" w14:textId="6F3E739A" w:rsidR="00020F12" w:rsidRDefault="000B5EEB" w:rsidP="00FD1247">
      <w:pPr>
        <w:pStyle w:val="NoSpacing"/>
        <w:numPr>
          <w:ilvl w:val="0"/>
          <w:numId w:val="7"/>
        </w:numPr>
      </w:pPr>
      <w:r w:rsidRPr="001F3598">
        <w:t>Understandable and transparent to taxpayers.</w:t>
      </w:r>
      <w:r w:rsidR="00020F12" w:rsidRPr="00020F12">
        <w:t xml:space="preserve"> </w:t>
      </w:r>
    </w:p>
    <w:p w14:paraId="52C3A7E4" w14:textId="33143E77" w:rsidR="00020F12" w:rsidRDefault="00020F12" w:rsidP="00FD1247">
      <w:pPr>
        <w:pStyle w:val="NoSpacing"/>
        <w:numPr>
          <w:ilvl w:val="0"/>
          <w:numId w:val="7"/>
        </w:numPr>
      </w:pPr>
      <w:r>
        <w:t>Consistent with the most recent standards publish</w:t>
      </w:r>
      <w:r w:rsidR="00AC6C5C">
        <w:t>ed</w:t>
      </w:r>
      <w:r>
        <w:t xml:space="preserve"> by the International Association of Assessing Officers.</w:t>
      </w:r>
    </w:p>
    <w:p w14:paraId="785DB3C4" w14:textId="6BD512F1" w:rsidR="000B5EEB" w:rsidRPr="001F3598" w:rsidRDefault="000B5EEB" w:rsidP="00FD1247">
      <w:pPr>
        <w:spacing w:after="120" w:line="240" w:lineRule="auto"/>
        <w:ind w:left="720"/>
      </w:pPr>
      <w:r w:rsidRPr="001F3598">
        <w:t xml:space="preserve">a) MAAO believes adjustments to market value, </w:t>
      </w:r>
      <w:r w:rsidR="008F38A1" w:rsidRPr="001F3598">
        <w:t>such as limitations on assessor</w:t>
      </w:r>
      <w:r w:rsidRPr="001F3598">
        <w:t>s</w:t>
      </w:r>
      <w:r w:rsidR="008F38A1" w:rsidRPr="001F3598">
        <w:t>’</w:t>
      </w:r>
      <w:r w:rsidRPr="001F3598">
        <w:t xml:space="preserve"> estimated market values, acquisition values</w:t>
      </w:r>
      <w:r w:rsidR="008F38A1" w:rsidRPr="001F3598">
        <w:t xml:space="preserve">, </w:t>
      </w:r>
      <w:r w:rsidRPr="001F3598">
        <w:t>deferments</w:t>
      </w:r>
      <w:r w:rsidR="008F38A1" w:rsidRPr="001F3598">
        <w:t>, exclusions</w:t>
      </w:r>
      <w:r w:rsidRPr="001F3598">
        <w:t xml:space="preserve"> or exemptions, </w:t>
      </w:r>
      <w:r w:rsidR="00AD57E4" w:rsidRPr="001F3598">
        <w:t>create</w:t>
      </w:r>
      <w:r w:rsidRPr="001F3598">
        <w:t xml:space="preserve"> inequities between taxpayers.</w:t>
      </w:r>
    </w:p>
    <w:p w14:paraId="3DC66C2D" w14:textId="0AE1745F" w:rsidR="000B5EEB" w:rsidRPr="001F3598" w:rsidRDefault="000B5EEB" w:rsidP="00FD1247">
      <w:pPr>
        <w:spacing w:after="120" w:line="240" w:lineRule="auto"/>
        <w:ind w:left="720"/>
      </w:pPr>
      <w:r w:rsidRPr="001F3598">
        <w:t xml:space="preserve">b) </w:t>
      </w:r>
      <w:r w:rsidR="00AB5BAC" w:rsidRPr="001F3598">
        <w:t xml:space="preserve">MAAO supports </w:t>
      </w:r>
      <w:r w:rsidR="00D57359" w:rsidRPr="001F3598">
        <w:t>a good</w:t>
      </w:r>
      <w:r w:rsidRPr="001F3598">
        <w:t xml:space="preserve"> tax policy </w:t>
      </w:r>
      <w:r w:rsidR="00AB5BAC" w:rsidRPr="001F3598">
        <w:t xml:space="preserve">that </w:t>
      </w:r>
      <w:r w:rsidRPr="001F3598">
        <w:t>treats all taxpayers in a consistent manner.</w:t>
      </w:r>
      <w:r w:rsidR="00AB5BAC" w:rsidRPr="001F3598">
        <w:t xml:space="preserve"> </w:t>
      </w:r>
      <w:r w:rsidRPr="001F3598">
        <w:t xml:space="preserve"> MAAO opposes classifications or programs that target</w:t>
      </w:r>
      <w:r w:rsidR="00CE5B42" w:rsidRPr="001F3598">
        <w:t xml:space="preserve"> </w:t>
      </w:r>
      <w:r w:rsidRPr="001F3598">
        <w:t>only a small number of taxpayers.</w:t>
      </w:r>
    </w:p>
    <w:p w14:paraId="0030CB80" w14:textId="77777777" w:rsidR="000B5EEB" w:rsidRPr="001F3598" w:rsidRDefault="000B5EEB" w:rsidP="00FD1247">
      <w:pPr>
        <w:spacing w:after="120" w:line="240" w:lineRule="auto"/>
        <w:ind w:left="720"/>
      </w:pPr>
      <w:r w:rsidRPr="001F3598">
        <w:t>c) MAAO encourages the continued use of state administered programs, such as the property tax r</w:t>
      </w:r>
      <w:r w:rsidR="009E61E5" w:rsidRPr="001F3598">
        <w:t>efund program, special targeted</w:t>
      </w:r>
      <w:r w:rsidRPr="001F3598">
        <w:t xml:space="preserve"> refunds, the income tax system, etc., if policy makers wish to </w:t>
      </w:r>
      <w:r w:rsidR="009E61E5" w:rsidRPr="001F3598">
        <w:t>grant additional tax relief</w:t>
      </w:r>
      <w:r w:rsidRPr="001F3598">
        <w:t>.</w:t>
      </w:r>
    </w:p>
    <w:p w14:paraId="6AFB961C" w14:textId="77777777" w:rsidR="000B5EEB" w:rsidRPr="001F3598" w:rsidRDefault="000B5EEB" w:rsidP="00FD1247">
      <w:pPr>
        <w:spacing w:after="120" w:line="240" w:lineRule="auto"/>
        <w:ind w:left="720"/>
      </w:pPr>
      <w:r w:rsidRPr="001F3598">
        <w:t xml:space="preserve">d) MAAO </w:t>
      </w:r>
      <w:r w:rsidRPr="001F3598">
        <w:rPr>
          <w:color w:val="000000" w:themeColor="text1"/>
        </w:rPr>
        <w:t xml:space="preserve">supports </w:t>
      </w:r>
      <w:r w:rsidR="00AF25B0" w:rsidRPr="001F3598">
        <w:rPr>
          <w:color w:val="000000" w:themeColor="text1"/>
        </w:rPr>
        <w:t>legislation</w:t>
      </w:r>
      <w:r w:rsidR="005E76AF" w:rsidRPr="001F3598">
        <w:rPr>
          <w:color w:val="000000" w:themeColor="text1"/>
        </w:rPr>
        <w:t xml:space="preserve"> and</w:t>
      </w:r>
      <w:r w:rsidR="00AF25B0" w:rsidRPr="001F3598">
        <w:rPr>
          <w:color w:val="000000" w:themeColor="text1"/>
        </w:rPr>
        <w:t xml:space="preserve"> </w:t>
      </w:r>
      <w:r w:rsidRPr="001F3598">
        <w:t>policies that</w:t>
      </w:r>
      <w:r w:rsidR="009E61E5" w:rsidRPr="001F3598">
        <w:t xml:space="preserve"> are consistent with</w:t>
      </w:r>
      <w:r w:rsidR="005E76AF" w:rsidRPr="001F3598">
        <w:t xml:space="preserve"> </w:t>
      </w:r>
      <w:r w:rsidR="00EA038A" w:rsidRPr="001F3598">
        <w:t>accepted</w:t>
      </w:r>
      <w:r w:rsidRPr="001F3598">
        <w:t xml:space="preserve"> </w:t>
      </w:r>
      <w:r w:rsidR="005E76AF" w:rsidRPr="001F3598">
        <w:t xml:space="preserve">standards of </w:t>
      </w:r>
      <w:r w:rsidRPr="001F3598">
        <w:t>appraisal and assessment practices.</w:t>
      </w:r>
      <w:r w:rsidR="00AC068F" w:rsidRPr="001F3598">
        <w:t xml:space="preserve"> </w:t>
      </w:r>
    </w:p>
    <w:p w14:paraId="50BA9B3F" w14:textId="247DBF38" w:rsidR="00A01F3D" w:rsidRPr="001F3598" w:rsidRDefault="00020F12" w:rsidP="00FD1247">
      <w:pPr>
        <w:spacing w:after="120" w:line="240" w:lineRule="auto"/>
        <w:rPr>
          <w:b/>
        </w:rPr>
      </w:pPr>
      <w:r>
        <w:rPr>
          <w:b/>
        </w:rPr>
        <w:t>4</w:t>
      </w:r>
      <w:r w:rsidR="000B5EEB" w:rsidRPr="001F3598">
        <w:rPr>
          <w:b/>
        </w:rPr>
        <w:t xml:space="preserve">. </w:t>
      </w:r>
      <w:r w:rsidR="00A01F3D" w:rsidRPr="001F3598">
        <w:rPr>
          <w:b/>
        </w:rPr>
        <w:t>MAAO</w:t>
      </w:r>
      <w:r w:rsidR="00A01F3D" w:rsidRPr="001F3598">
        <w:t xml:space="preserve"> supports consolidating agricultural land and buildings (excluding h</w:t>
      </w:r>
      <w:r w:rsidR="00CF2E41" w:rsidRPr="001F3598">
        <w:t>ouse, garage and one acre) into</w:t>
      </w:r>
      <w:r w:rsidR="00A01F3D" w:rsidRPr="001F3598">
        <w:t xml:space="preserve"> a single classification rate. Changes to the qualifications for agricultural homestead have added to the complexity </w:t>
      </w:r>
      <w:r w:rsidR="001E413C" w:rsidRPr="00C87306">
        <w:t>and cost</w:t>
      </w:r>
      <w:r w:rsidR="001E413C">
        <w:t xml:space="preserve"> </w:t>
      </w:r>
      <w:r w:rsidR="00A01F3D" w:rsidRPr="001F3598">
        <w:t>of administration of the agricultural homestead classification and confusion on the part of taxpayers.</w:t>
      </w:r>
    </w:p>
    <w:p w14:paraId="21E2977B" w14:textId="7E35CC24" w:rsidR="00A01F3D" w:rsidRPr="001F3598" w:rsidRDefault="00020F12" w:rsidP="00FD1247">
      <w:pPr>
        <w:spacing w:after="120" w:line="240" w:lineRule="auto"/>
      </w:pPr>
      <w:r>
        <w:rPr>
          <w:b/>
        </w:rPr>
        <w:t>5</w:t>
      </w:r>
      <w:r w:rsidR="000B5EEB" w:rsidRPr="001F3598">
        <w:rPr>
          <w:b/>
        </w:rPr>
        <w:t xml:space="preserve">. </w:t>
      </w:r>
      <w:r w:rsidR="00A01F3D" w:rsidRPr="001F3598">
        <w:rPr>
          <w:b/>
        </w:rPr>
        <w:t>MAAO</w:t>
      </w:r>
      <w:r w:rsidR="00A01F3D" w:rsidRPr="001F3598">
        <w:t xml:space="preserve"> supports legislation to make the classification system more understandable and transparent by   consolidating the existing classes. We do so for the following reasons:</w:t>
      </w:r>
    </w:p>
    <w:p w14:paraId="0CDA0A20" w14:textId="77777777" w:rsidR="00A01F3D" w:rsidRPr="001F3598" w:rsidRDefault="00A01F3D" w:rsidP="00FD1247">
      <w:pPr>
        <w:spacing w:before="100" w:beforeAutospacing="1" w:after="100" w:afterAutospacing="1" w:line="240" w:lineRule="auto"/>
        <w:ind w:left="1440"/>
        <w:contextualSpacing/>
      </w:pPr>
      <w:r w:rsidRPr="001F3598">
        <w:t>• Easier for taxpayers to understand.</w:t>
      </w:r>
    </w:p>
    <w:p w14:paraId="23C32932" w14:textId="77777777" w:rsidR="00A01F3D" w:rsidRPr="001F3598" w:rsidRDefault="00A01F3D" w:rsidP="00FD1247">
      <w:pPr>
        <w:spacing w:after="100" w:afterAutospacing="1" w:line="240" w:lineRule="auto"/>
        <w:ind w:left="1440"/>
        <w:contextualSpacing/>
      </w:pPr>
      <w:r w:rsidRPr="001F3598">
        <w:t>• Streamline administration costs to local governments.</w:t>
      </w:r>
    </w:p>
    <w:p w14:paraId="11102627" w14:textId="77777777" w:rsidR="00A01F3D" w:rsidRPr="001F3598" w:rsidRDefault="00A01F3D" w:rsidP="00FD1247">
      <w:pPr>
        <w:spacing w:after="120" w:line="240" w:lineRule="auto"/>
        <w:ind w:left="1440"/>
        <w:contextualSpacing/>
      </w:pPr>
      <w:r w:rsidRPr="001F3598">
        <w:t>• The tiered classification system increases complexity and produces unexpected property tax shifting.</w:t>
      </w:r>
    </w:p>
    <w:p w14:paraId="3394687B" w14:textId="2E55C7A6" w:rsidR="000B5EEB" w:rsidRPr="001F3598" w:rsidRDefault="00020F12" w:rsidP="00FD1247">
      <w:pPr>
        <w:spacing w:before="240" w:line="240" w:lineRule="auto"/>
      </w:pPr>
      <w:r>
        <w:rPr>
          <w:b/>
        </w:rPr>
        <w:t>6</w:t>
      </w:r>
      <w:r w:rsidR="000B5EEB" w:rsidRPr="001F3598">
        <w:rPr>
          <w:b/>
        </w:rPr>
        <w:t>. MAAO</w:t>
      </w:r>
      <w:r w:rsidR="000B5EEB" w:rsidRPr="001F3598">
        <w:t xml:space="preserve"> supports a taxpayer appeal process that encourages timely resolution and open communication between taxpayers and assessors.</w:t>
      </w:r>
    </w:p>
    <w:p w14:paraId="5F790701" w14:textId="3C4E94A7" w:rsidR="00720A0C" w:rsidRPr="001F3598" w:rsidRDefault="00020F12" w:rsidP="00FD1247">
      <w:pPr>
        <w:spacing w:line="240" w:lineRule="auto"/>
      </w:pPr>
      <w:r>
        <w:rPr>
          <w:b/>
        </w:rPr>
        <w:t>7</w:t>
      </w:r>
      <w:r w:rsidR="000B5EEB" w:rsidRPr="001F3598">
        <w:rPr>
          <w:b/>
        </w:rPr>
        <w:t>. MAAO</w:t>
      </w:r>
      <w:r w:rsidR="00720A0C" w:rsidRPr="001F3598">
        <w:t xml:space="preserve"> believes that </w:t>
      </w:r>
      <w:r w:rsidR="00D3275E" w:rsidRPr="001F3598">
        <w:t xml:space="preserve">new state mandated programs be funded by the state. </w:t>
      </w:r>
    </w:p>
    <w:p w14:paraId="410EA6C7" w14:textId="423C8A07" w:rsidR="000B5EEB" w:rsidRDefault="000B5EEB" w:rsidP="00FD1247">
      <w:pPr>
        <w:spacing w:line="240" w:lineRule="auto"/>
      </w:pPr>
      <w:r w:rsidRPr="00B4322D">
        <w:rPr>
          <w:sz w:val="18"/>
          <w:szCs w:val="18"/>
        </w:rPr>
        <w:t xml:space="preserve">Footnote: Additional references may be made by reading, “Standard on Property Tax Policy”, IAAO, </w:t>
      </w:r>
      <w:r w:rsidR="0055206C" w:rsidRPr="00B4322D">
        <w:rPr>
          <w:sz w:val="18"/>
          <w:szCs w:val="18"/>
        </w:rPr>
        <w:t>January</w:t>
      </w:r>
      <w:r w:rsidRPr="00B4322D">
        <w:rPr>
          <w:sz w:val="18"/>
          <w:szCs w:val="18"/>
        </w:rPr>
        <w:t xml:space="preserve"> 2010</w:t>
      </w:r>
      <w:r w:rsidRPr="001741B1">
        <w:t>.</w:t>
      </w:r>
    </w:p>
    <w:sectPr w:rsidR="000B5EEB" w:rsidSect="00FD1247">
      <w:footerReference w:type="default" r:id="rId9"/>
      <w:pgSz w:w="12240" w:h="15840" w:code="1"/>
      <w:pgMar w:top="475" w:right="1008" w:bottom="360" w:left="72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56E3B" w14:textId="77777777" w:rsidR="00430F48" w:rsidRDefault="00430F48" w:rsidP="00B119A3">
      <w:pPr>
        <w:spacing w:after="0" w:line="240" w:lineRule="auto"/>
      </w:pPr>
      <w:r>
        <w:separator/>
      </w:r>
    </w:p>
  </w:endnote>
  <w:endnote w:type="continuationSeparator" w:id="0">
    <w:p w14:paraId="75DE5754" w14:textId="77777777" w:rsidR="00430F48" w:rsidRDefault="00430F48" w:rsidP="00B1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662" w:type="pct"/>
      <w:tblBorders>
        <w:top w:val="single" w:sz="8" w:space="0" w:color="4F81BD"/>
        <w:bottom w:val="single" w:sz="8" w:space="0" w:color="4F81BD"/>
      </w:tblBorders>
      <w:tblLook w:val="00A0" w:firstRow="1" w:lastRow="0" w:firstColumn="1" w:lastColumn="0" w:noHBand="0" w:noVBand="0"/>
    </w:tblPr>
    <w:tblGrid>
      <w:gridCol w:w="9801"/>
    </w:tblGrid>
    <w:tr w:rsidR="000B5EEB" w:rsidRPr="000F0079" w14:paraId="369F15D4" w14:textId="77777777" w:rsidTr="00096522">
      <w:trPr>
        <w:trHeight w:val="880"/>
      </w:trPr>
      <w:tc>
        <w:tcPr>
          <w:tcW w:w="9734" w:type="dxa"/>
          <w:tcBorders>
            <w:top w:val="single" w:sz="8" w:space="0" w:color="4F81BD"/>
            <w:left w:val="nil"/>
            <w:bottom w:val="single" w:sz="8" w:space="0" w:color="4F81BD"/>
            <w:right w:val="nil"/>
          </w:tcBorders>
        </w:tcPr>
        <w:p w14:paraId="25653496" w14:textId="77777777" w:rsidR="000B5EEB" w:rsidRPr="0023582C" w:rsidRDefault="000B5EEB" w:rsidP="0023582C">
          <w:pPr>
            <w:spacing w:after="0" w:line="240" w:lineRule="auto"/>
            <w:jc w:val="center"/>
            <w:rPr>
              <w:b/>
              <w:bCs/>
              <w:i/>
              <w:color w:val="365F91"/>
              <w:sz w:val="20"/>
              <w:szCs w:val="20"/>
            </w:rPr>
          </w:pPr>
          <w:r w:rsidRPr="0023582C">
            <w:rPr>
              <w:b/>
              <w:bCs/>
              <w:i/>
              <w:color w:val="365F91"/>
              <w:sz w:val="20"/>
              <w:szCs w:val="20"/>
            </w:rPr>
            <w:t>“The mission of the Minnesota Association of Assessing Officers is to provide education and information to promote excellence in property appraisal and assessment administration through professional development with the highest ethical standards.”</w:t>
          </w:r>
        </w:p>
      </w:tc>
    </w:tr>
  </w:tbl>
  <w:p w14:paraId="1015321C" w14:textId="77777777" w:rsidR="000B5EEB" w:rsidRDefault="000B5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2A5B7" w14:textId="77777777" w:rsidR="00430F48" w:rsidRDefault="00430F48" w:rsidP="00B119A3">
      <w:pPr>
        <w:spacing w:after="0" w:line="240" w:lineRule="auto"/>
      </w:pPr>
      <w:r>
        <w:separator/>
      </w:r>
    </w:p>
  </w:footnote>
  <w:footnote w:type="continuationSeparator" w:id="0">
    <w:p w14:paraId="501B2D64" w14:textId="77777777" w:rsidR="00430F48" w:rsidRDefault="00430F48" w:rsidP="00B11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86326"/>
    <w:multiLevelType w:val="hybridMultilevel"/>
    <w:tmpl w:val="E74E4656"/>
    <w:lvl w:ilvl="0" w:tplc="7BDADF6A">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016BF"/>
    <w:multiLevelType w:val="hybridMultilevel"/>
    <w:tmpl w:val="A4E221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CD37DB"/>
    <w:multiLevelType w:val="hybridMultilevel"/>
    <w:tmpl w:val="204EA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4F2070"/>
    <w:multiLevelType w:val="hybridMultilevel"/>
    <w:tmpl w:val="F52AE8B8"/>
    <w:lvl w:ilvl="0" w:tplc="7BDADF6A">
      <w:numFmt w:val="bullet"/>
      <w:lvlText w:val="•"/>
      <w:lvlJc w:val="left"/>
      <w:pPr>
        <w:ind w:left="2160" w:hanging="72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236440B"/>
    <w:multiLevelType w:val="hybridMultilevel"/>
    <w:tmpl w:val="5CF0CC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9E512D8"/>
    <w:multiLevelType w:val="hybridMultilevel"/>
    <w:tmpl w:val="6332F9AE"/>
    <w:lvl w:ilvl="0" w:tplc="7BDADF6A">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CC01B9B"/>
    <w:multiLevelType w:val="hybridMultilevel"/>
    <w:tmpl w:val="874E4C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0183578"/>
    <w:multiLevelType w:val="hybridMultilevel"/>
    <w:tmpl w:val="E4505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83102353">
    <w:abstractNumId w:val="2"/>
  </w:num>
  <w:num w:numId="2" w16cid:durableId="486867107">
    <w:abstractNumId w:val="7"/>
  </w:num>
  <w:num w:numId="3" w16cid:durableId="1027295228">
    <w:abstractNumId w:val="1"/>
  </w:num>
  <w:num w:numId="4" w16cid:durableId="1171488764">
    <w:abstractNumId w:val="6"/>
  </w:num>
  <w:num w:numId="5" w16cid:durableId="393159837">
    <w:abstractNumId w:val="4"/>
  </w:num>
  <w:num w:numId="6" w16cid:durableId="949625663">
    <w:abstractNumId w:val="5"/>
  </w:num>
  <w:num w:numId="7" w16cid:durableId="139540942">
    <w:abstractNumId w:val="0"/>
  </w:num>
  <w:num w:numId="8" w16cid:durableId="1031803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B1"/>
    <w:rsid w:val="00006831"/>
    <w:rsid w:val="00020F12"/>
    <w:rsid w:val="000431D3"/>
    <w:rsid w:val="00070E36"/>
    <w:rsid w:val="00075675"/>
    <w:rsid w:val="00075FF7"/>
    <w:rsid w:val="00096522"/>
    <w:rsid w:val="000B5EEB"/>
    <w:rsid w:val="000D087C"/>
    <w:rsid w:val="000F0079"/>
    <w:rsid w:val="00135926"/>
    <w:rsid w:val="00147AA5"/>
    <w:rsid w:val="00165155"/>
    <w:rsid w:val="001741B1"/>
    <w:rsid w:val="001E413C"/>
    <w:rsid w:val="001F3598"/>
    <w:rsid w:val="002058F1"/>
    <w:rsid w:val="00220FDE"/>
    <w:rsid w:val="00234CFC"/>
    <w:rsid w:val="0023582C"/>
    <w:rsid w:val="0023745F"/>
    <w:rsid w:val="00277023"/>
    <w:rsid w:val="00327CD3"/>
    <w:rsid w:val="003511AA"/>
    <w:rsid w:val="003951B0"/>
    <w:rsid w:val="003A4B5F"/>
    <w:rsid w:val="003C568E"/>
    <w:rsid w:val="003D4AB7"/>
    <w:rsid w:val="00423E9B"/>
    <w:rsid w:val="00426EAB"/>
    <w:rsid w:val="00430F48"/>
    <w:rsid w:val="00453D52"/>
    <w:rsid w:val="00466E6E"/>
    <w:rsid w:val="004D49E8"/>
    <w:rsid w:val="004F2226"/>
    <w:rsid w:val="0055206C"/>
    <w:rsid w:val="00557C58"/>
    <w:rsid w:val="00562513"/>
    <w:rsid w:val="005E76AF"/>
    <w:rsid w:val="00612FF6"/>
    <w:rsid w:val="0064584E"/>
    <w:rsid w:val="00666A1D"/>
    <w:rsid w:val="006D24F8"/>
    <w:rsid w:val="006F0AAD"/>
    <w:rsid w:val="00720A0C"/>
    <w:rsid w:val="00785ABC"/>
    <w:rsid w:val="007D20FD"/>
    <w:rsid w:val="007F19D5"/>
    <w:rsid w:val="00803E7B"/>
    <w:rsid w:val="008118B4"/>
    <w:rsid w:val="00827D4C"/>
    <w:rsid w:val="008318C5"/>
    <w:rsid w:val="00877A68"/>
    <w:rsid w:val="00877B0E"/>
    <w:rsid w:val="008C198D"/>
    <w:rsid w:val="008F38A1"/>
    <w:rsid w:val="008F3E3D"/>
    <w:rsid w:val="0092742A"/>
    <w:rsid w:val="00963B6F"/>
    <w:rsid w:val="00964B26"/>
    <w:rsid w:val="00970A91"/>
    <w:rsid w:val="00975D3E"/>
    <w:rsid w:val="009E61E5"/>
    <w:rsid w:val="00A01F3D"/>
    <w:rsid w:val="00A27B58"/>
    <w:rsid w:val="00AB5BAC"/>
    <w:rsid w:val="00AC068F"/>
    <w:rsid w:val="00AC6C5C"/>
    <w:rsid w:val="00AD57E4"/>
    <w:rsid w:val="00AF0B98"/>
    <w:rsid w:val="00AF25B0"/>
    <w:rsid w:val="00B06762"/>
    <w:rsid w:val="00B119A3"/>
    <w:rsid w:val="00B357DE"/>
    <w:rsid w:val="00B4322D"/>
    <w:rsid w:val="00B94C59"/>
    <w:rsid w:val="00BA4776"/>
    <w:rsid w:val="00C87306"/>
    <w:rsid w:val="00CB4FD6"/>
    <w:rsid w:val="00CD4AC9"/>
    <w:rsid w:val="00CE5B42"/>
    <w:rsid w:val="00CF2E41"/>
    <w:rsid w:val="00D3275E"/>
    <w:rsid w:val="00D57359"/>
    <w:rsid w:val="00D742C0"/>
    <w:rsid w:val="00D77F55"/>
    <w:rsid w:val="00DA46A4"/>
    <w:rsid w:val="00E6596A"/>
    <w:rsid w:val="00E671D3"/>
    <w:rsid w:val="00E91A90"/>
    <w:rsid w:val="00EA038A"/>
    <w:rsid w:val="00F13C07"/>
    <w:rsid w:val="00F727BB"/>
    <w:rsid w:val="00F87CA9"/>
    <w:rsid w:val="00FD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4E052E"/>
  <w15:docId w15:val="{05D41A3A-84C6-4C5B-8AC2-DE547672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C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741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741B1"/>
    <w:rPr>
      <w:rFonts w:ascii="Tahoma" w:hAnsi="Tahoma" w:cs="Tahoma"/>
      <w:sz w:val="16"/>
      <w:szCs w:val="16"/>
    </w:rPr>
  </w:style>
  <w:style w:type="paragraph" w:styleId="NoSpacing">
    <w:name w:val="No Spacing"/>
    <w:uiPriority w:val="99"/>
    <w:qFormat/>
    <w:rsid w:val="001741B1"/>
    <w:rPr>
      <w:sz w:val="22"/>
      <w:szCs w:val="22"/>
    </w:rPr>
  </w:style>
  <w:style w:type="paragraph" w:styleId="Header">
    <w:name w:val="header"/>
    <w:basedOn w:val="Normal"/>
    <w:link w:val="HeaderChar"/>
    <w:uiPriority w:val="99"/>
    <w:rsid w:val="00B119A3"/>
    <w:pPr>
      <w:tabs>
        <w:tab w:val="center" w:pos="4680"/>
        <w:tab w:val="right" w:pos="9360"/>
      </w:tabs>
      <w:spacing w:after="0" w:line="240" w:lineRule="auto"/>
    </w:pPr>
  </w:style>
  <w:style w:type="character" w:customStyle="1" w:styleId="HeaderChar">
    <w:name w:val="Header Char"/>
    <w:link w:val="Header"/>
    <w:uiPriority w:val="99"/>
    <w:locked/>
    <w:rsid w:val="00B119A3"/>
    <w:rPr>
      <w:rFonts w:cs="Times New Roman"/>
    </w:rPr>
  </w:style>
  <w:style w:type="paragraph" w:styleId="Footer">
    <w:name w:val="footer"/>
    <w:basedOn w:val="Normal"/>
    <w:link w:val="FooterChar"/>
    <w:uiPriority w:val="99"/>
    <w:rsid w:val="00B119A3"/>
    <w:pPr>
      <w:tabs>
        <w:tab w:val="center" w:pos="4680"/>
        <w:tab w:val="right" w:pos="9360"/>
      </w:tabs>
      <w:spacing w:after="0" w:line="240" w:lineRule="auto"/>
    </w:pPr>
  </w:style>
  <w:style w:type="character" w:customStyle="1" w:styleId="FooterChar">
    <w:name w:val="Footer Char"/>
    <w:link w:val="Footer"/>
    <w:uiPriority w:val="99"/>
    <w:locked/>
    <w:rsid w:val="00B119A3"/>
    <w:rPr>
      <w:rFonts w:cs="Times New Roman"/>
    </w:rPr>
  </w:style>
  <w:style w:type="table" w:styleId="LightShading-Accent1">
    <w:name w:val="Light Shading Accent 1"/>
    <w:basedOn w:val="TableNormal"/>
    <w:uiPriority w:val="99"/>
    <w:rsid w:val="00220FDE"/>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ListParagraph">
    <w:name w:val="List Paragraph"/>
    <w:basedOn w:val="Normal"/>
    <w:uiPriority w:val="34"/>
    <w:qFormat/>
    <w:rsid w:val="00020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F4098-681A-4E51-8521-50E1CFF5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Steele County</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Penny VIkre</cp:lastModifiedBy>
  <cp:revision>2</cp:revision>
  <cp:lastPrinted>2023-01-10T18:25:00Z</cp:lastPrinted>
  <dcterms:created xsi:type="dcterms:W3CDTF">2025-04-24T14:29:00Z</dcterms:created>
  <dcterms:modified xsi:type="dcterms:W3CDTF">2025-04-24T14:29:00Z</dcterms:modified>
</cp:coreProperties>
</file>